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r>
        <w:rPr>
          <w:rFonts w:hint="eastAsia" w:ascii="仿宋_GB2312" w:hAnsi="仿宋_GB2312" w:eastAsia="仿宋_GB2312" w:cs="仿宋_GB2312"/>
          <w:b w:val="0"/>
          <w:bCs w:val="0"/>
          <w:sz w:val="32"/>
          <w:szCs w:val="32"/>
          <w:lang w:val="en-US" w:eastAsia="zh-CN"/>
        </w:rPr>
        <w:t>附件2：调研产品及要求</w:t>
      </w:r>
    </w:p>
    <w:bookmarkEnd w:id="1"/>
    <w:tbl>
      <w:tblPr>
        <w:tblStyle w:val="3"/>
        <w:tblW w:w="5556" w:type="pct"/>
        <w:tblInd w:w="-9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24"/>
        <w:gridCol w:w="492"/>
        <w:gridCol w:w="436"/>
        <w:gridCol w:w="703"/>
        <w:gridCol w:w="800"/>
        <w:gridCol w:w="693"/>
        <w:gridCol w:w="2607"/>
        <w:gridCol w:w="1569"/>
        <w:gridCol w:w="1158"/>
        <w:gridCol w:w="1384"/>
        <w:gridCol w:w="1407"/>
        <w:gridCol w:w="92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426" w:type="pct"/>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设备名称</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数量</w:t>
            </w:r>
          </w:p>
        </w:tc>
        <w:tc>
          <w:tcPr>
            <w:tcW w:w="138"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品牌</w:t>
            </w:r>
          </w:p>
        </w:tc>
        <w:tc>
          <w:tcPr>
            <w:tcW w:w="223" w:type="pct"/>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规格型号</w:t>
            </w:r>
          </w:p>
        </w:tc>
        <w:tc>
          <w:tcPr>
            <w:tcW w:w="253"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铭牌使用年限</w:t>
            </w:r>
          </w:p>
        </w:tc>
        <w:tc>
          <w:tcPr>
            <w:tcW w:w="219" w:type="pct"/>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单价</w:t>
            </w:r>
          </w:p>
        </w:tc>
        <w:tc>
          <w:tcPr>
            <w:tcW w:w="827" w:type="pct"/>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主要要求</w:t>
            </w:r>
          </w:p>
        </w:tc>
        <w:tc>
          <w:tcPr>
            <w:tcW w:w="498"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医疗器械类设施设备须填写主要技术参数</w:t>
            </w:r>
          </w:p>
        </w:tc>
        <w:tc>
          <w:tcPr>
            <w:tcW w:w="367"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是否有可选配功能及其价格</w:t>
            </w:r>
          </w:p>
        </w:tc>
        <w:tc>
          <w:tcPr>
            <w:tcW w:w="439"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有无配套耗材及其价格</w:t>
            </w:r>
          </w:p>
        </w:tc>
        <w:tc>
          <w:tcPr>
            <w:tcW w:w="446" w:type="pct"/>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同一品牌不同规格型号优劣势对比</w:t>
            </w:r>
          </w:p>
        </w:tc>
        <w:tc>
          <w:tcPr>
            <w:tcW w:w="292"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质保期</w:t>
            </w:r>
          </w:p>
        </w:tc>
        <w:tc>
          <w:tcPr>
            <w:tcW w:w="480" w:type="pct"/>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DSA</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numPr>
                <w:ilvl w:val="0"/>
                <w:numId w:val="1"/>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适用于对血管及非血管进行造影检查和介入治疗提供X射线透视、摄影和数字减影血管图像，满足心脏、神经、胸腹部、四肢等多领域临床需求。</w:t>
            </w:r>
          </w:p>
          <w:p>
            <w:pPr>
              <w:numPr>
                <w:ilvl w:val="0"/>
                <w:numId w:val="0"/>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二、临床应用功能：1.心血管介入。2.神经血管介入。3.外周血管介入。4.综合介入。</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若同一品牌有不同规格型号请分别报价，并列出优劣势对比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高压注射器</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双屏，操作间可调参数</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医用X射线防护装置</w:t>
            </w: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（包含防护服收纳架）</w:t>
            </w:r>
          </w:p>
        </w:tc>
        <w:tc>
          <w:tcPr>
            <w:tcW w:w="229" w:type="pct"/>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10</w:t>
            </w:r>
          </w:p>
        </w:tc>
        <w:tc>
          <w:tcPr>
            <w:tcW w:w="138" w:type="pct"/>
            <w:vAlign w:val="center"/>
          </w:tcPr>
          <w:p>
            <w:pPr>
              <w:jc w:val="center"/>
              <w:rPr>
                <w:rFonts w:hint="eastAsia" w:ascii="仿宋_GB2312" w:hAnsi="仿宋_GB2312" w:eastAsia="仿宋_GB2312" w:cs="仿宋_GB2312"/>
                <w:sz w:val="21"/>
                <w:szCs w:val="21"/>
                <w:vertAlign w:val="baseline"/>
                <w:lang w:val="en-US" w:eastAsia="zh-CN"/>
              </w:rPr>
            </w:pPr>
          </w:p>
        </w:tc>
        <w:tc>
          <w:tcPr>
            <w:tcW w:w="223" w:type="pct"/>
            <w:vAlign w:val="center"/>
          </w:tcPr>
          <w:p>
            <w:pPr>
              <w:jc w:val="center"/>
              <w:rPr>
                <w:rFonts w:hint="eastAsia" w:ascii="仿宋_GB2312" w:hAnsi="仿宋_GB2312" w:eastAsia="仿宋_GB2312" w:cs="仿宋_GB2312"/>
                <w:sz w:val="21"/>
                <w:szCs w:val="21"/>
                <w:vertAlign w:val="baseline"/>
                <w:lang w:val="en-US" w:eastAsia="zh-CN"/>
              </w:rPr>
            </w:pPr>
          </w:p>
        </w:tc>
        <w:tc>
          <w:tcPr>
            <w:tcW w:w="253" w:type="pct"/>
            <w:vAlign w:val="center"/>
          </w:tcPr>
          <w:p>
            <w:pPr>
              <w:jc w:val="center"/>
              <w:rPr>
                <w:rFonts w:hint="eastAsia" w:ascii="仿宋_GB2312" w:hAnsi="仿宋_GB2312" w:eastAsia="仿宋_GB2312" w:cs="仿宋_GB2312"/>
                <w:sz w:val="21"/>
                <w:szCs w:val="21"/>
                <w:vertAlign w:val="baseline"/>
                <w:lang w:val="en-US" w:eastAsia="zh-CN"/>
              </w:rPr>
            </w:pPr>
          </w:p>
        </w:tc>
        <w:tc>
          <w:tcPr>
            <w:tcW w:w="219" w:type="pct"/>
            <w:vAlign w:val="center"/>
          </w:tcPr>
          <w:p>
            <w:pPr>
              <w:jc w:val="center"/>
              <w:rPr>
                <w:rFonts w:hint="eastAsia" w:ascii="仿宋_GB2312" w:hAnsi="仿宋_GB2312" w:eastAsia="仿宋_GB2312" w:cs="仿宋_GB2312"/>
                <w:sz w:val="21"/>
                <w:szCs w:val="21"/>
                <w:vertAlign w:val="baseline"/>
                <w:lang w:val="en-US" w:eastAsia="zh-CN"/>
              </w:rPr>
            </w:pPr>
          </w:p>
        </w:tc>
        <w:tc>
          <w:tcPr>
            <w:tcW w:w="827" w:type="pct"/>
            <w:vAlign w:val="center"/>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10套分体（含铅帽、防护铅眼镜、铅衣、</w:t>
            </w:r>
            <w:r>
              <w:rPr>
                <w:rFonts w:hint="eastAsia" w:ascii="仿宋_GB2312" w:hAnsi="仿宋_GB2312" w:eastAsia="仿宋_GB2312" w:cs="仿宋_GB2312"/>
                <w:sz w:val="21"/>
                <w:szCs w:val="21"/>
                <w:highlight w:val="none"/>
                <w:vertAlign w:val="baseline"/>
                <w:lang w:val="en-US" w:eastAsia="zh-CN"/>
              </w:rPr>
              <w:t>铅裙、</w:t>
            </w:r>
            <w:r>
              <w:rPr>
                <w:rFonts w:hint="eastAsia" w:ascii="仿宋_GB2312" w:hAnsi="仿宋_GB2312" w:eastAsia="仿宋_GB2312" w:cs="仿宋_GB2312"/>
                <w:sz w:val="21"/>
                <w:szCs w:val="21"/>
                <w:vertAlign w:val="baseline"/>
                <w:lang w:val="en-US" w:eastAsia="zh-CN"/>
              </w:rPr>
              <w:t>铅围脖），收纳架（收纳</w:t>
            </w:r>
            <w:r>
              <w:rPr>
                <w:rFonts w:hint="default" w:ascii="Arial" w:hAnsi="Arial" w:eastAsia="仿宋_GB2312" w:cs="Arial"/>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10套）</w:t>
            </w:r>
          </w:p>
        </w:tc>
        <w:tc>
          <w:tcPr>
            <w:tcW w:w="498" w:type="pct"/>
            <w:vAlign w:val="center"/>
          </w:tcPr>
          <w:p>
            <w:pPr>
              <w:jc w:val="center"/>
              <w:rPr>
                <w:rFonts w:hint="eastAsia" w:ascii="仿宋_GB2312" w:hAnsi="仿宋_GB2312" w:eastAsia="仿宋_GB2312" w:cs="仿宋_GB2312"/>
                <w:sz w:val="21"/>
                <w:szCs w:val="21"/>
                <w:vertAlign w:val="baseline"/>
                <w:lang w:val="en-US" w:eastAsia="zh-CN"/>
              </w:rPr>
            </w:pPr>
          </w:p>
        </w:tc>
        <w:tc>
          <w:tcPr>
            <w:tcW w:w="367" w:type="pct"/>
            <w:vAlign w:val="center"/>
          </w:tcPr>
          <w:p>
            <w:pPr>
              <w:jc w:val="center"/>
              <w:rPr>
                <w:rFonts w:hint="eastAsia" w:ascii="仿宋_GB2312" w:hAnsi="仿宋_GB2312" w:eastAsia="仿宋_GB2312" w:cs="仿宋_GB2312"/>
                <w:sz w:val="21"/>
                <w:szCs w:val="21"/>
                <w:vertAlign w:val="baseline"/>
                <w:lang w:val="en-US" w:eastAsia="zh-CN"/>
              </w:rPr>
            </w:pPr>
          </w:p>
        </w:tc>
        <w:tc>
          <w:tcPr>
            <w:tcW w:w="439" w:type="pct"/>
            <w:vAlign w:val="center"/>
          </w:tcPr>
          <w:p>
            <w:pPr>
              <w:jc w:val="center"/>
              <w:rPr>
                <w:rFonts w:hint="eastAsia" w:ascii="仿宋_GB2312" w:hAnsi="仿宋_GB2312" w:eastAsia="仿宋_GB2312" w:cs="仿宋_GB2312"/>
                <w:sz w:val="21"/>
                <w:szCs w:val="21"/>
                <w:vertAlign w:val="baseline"/>
                <w:lang w:val="en-US" w:eastAsia="zh-CN"/>
              </w:rPr>
            </w:pPr>
          </w:p>
        </w:tc>
        <w:tc>
          <w:tcPr>
            <w:tcW w:w="446" w:type="pct"/>
            <w:vAlign w:val="center"/>
          </w:tcPr>
          <w:p>
            <w:pPr>
              <w:jc w:val="center"/>
              <w:rPr>
                <w:rFonts w:hint="eastAsia" w:ascii="仿宋_GB2312" w:hAnsi="仿宋_GB2312" w:eastAsia="仿宋_GB2312" w:cs="仿宋_GB2312"/>
                <w:sz w:val="21"/>
                <w:szCs w:val="21"/>
                <w:vertAlign w:val="baseline"/>
                <w:lang w:val="en-US" w:eastAsia="zh-CN"/>
              </w:rPr>
            </w:pPr>
          </w:p>
        </w:tc>
        <w:tc>
          <w:tcPr>
            <w:tcW w:w="292" w:type="pct"/>
            <w:vAlign w:val="center"/>
          </w:tcPr>
          <w:p>
            <w:pPr>
              <w:jc w:val="center"/>
              <w:rPr>
                <w:rFonts w:hint="eastAsia" w:ascii="仿宋_GB2312" w:hAnsi="仿宋_GB2312" w:eastAsia="仿宋_GB2312" w:cs="仿宋_GB2312"/>
                <w:sz w:val="21"/>
                <w:szCs w:val="21"/>
                <w:vertAlign w:val="baseline"/>
                <w:lang w:val="en-US" w:eastAsia="zh-CN"/>
              </w:rPr>
            </w:pPr>
          </w:p>
        </w:tc>
        <w:tc>
          <w:tcPr>
            <w:tcW w:w="480" w:type="pct"/>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除颤监护仪</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除颤并带起搏功能</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病人监护仪</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numPr>
                <w:ilvl w:val="0"/>
                <w:numId w:val="2"/>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双屏，操作间可监控</w:t>
            </w:r>
          </w:p>
          <w:p>
            <w:pPr>
              <w:numPr>
                <w:ilvl w:val="0"/>
                <w:numId w:val="2"/>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常规心电监护功能：心电，呼吸，心率，无创血压，血氧饱和度，脉搏，双通道体温和双通道有创血压的同时监测；</w:t>
            </w:r>
          </w:p>
          <w:p>
            <w:pPr>
              <w:numPr>
                <w:ilvl w:val="0"/>
                <w:numId w:val="2"/>
              </w:num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麻醉气体、呼气末二氧化碳监测</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麻醉机</w:t>
            </w:r>
          </w:p>
        </w:tc>
        <w:tc>
          <w:tcPr>
            <w:tcW w:w="229"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带压力控制和容积控制、废气装置</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数字式十二道心电图机</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多道生理记录仪</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诊断</w:t>
            </w:r>
            <w:r>
              <w:rPr>
                <w:rFonts w:hint="eastAsia" w:ascii="仿宋_GB2312" w:hAnsi="仿宋_GB2312" w:eastAsia="仿宋_GB2312" w:cs="仿宋_GB2312"/>
                <w:sz w:val="21"/>
                <w:szCs w:val="21"/>
                <w:u w:val="none"/>
                <w:vertAlign w:val="baseline"/>
                <w:lang w:val="en-US" w:eastAsia="zh-CN"/>
              </w:rPr>
              <w:t>心率失常</w:t>
            </w:r>
            <w:r>
              <w:rPr>
                <w:rFonts w:hint="eastAsia" w:ascii="仿宋_GB2312" w:hAnsi="仿宋_GB2312" w:eastAsia="仿宋_GB2312" w:cs="仿宋_GB2312"/>
                <w:sz w:val="21"/>
                <w:szCs w:val="21"/>
                <w:vertAlign w:val="baseline"/>
                <w:lang w:val="en-US" w:eastAsia="zh-CN"/>
              </w:rPr>
              <w:t>等，编辑报告，并打印</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无磁转运床</w:t>
            </w:r>
          </w:p>
        </w:tc>
        <w:tc>
          <w:tcPr>
            <w:tcW w:w="22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23"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53"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1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827" w:type="pct"/>
            <w:shd w:val="clear" w:color="auto" w:fill="auto"/>
            <w:vAlign w:val="top"/>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用于DSA和磁共振转运患者</w:t>
            </w:r>
          </w:p>
        </w:tc>
        <w:tc>
          <w:tcPr>
            <w:tcW w:w="498"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367"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3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46"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92"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80"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吸引器</w:t>
            </w:r>
          </w:p>
        </w:tc>
        <w:tc>
          <w:tcPr>
            <w:tcW w:w="22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23"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53"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1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827" w:type="pct"/>
            <w:shd w:val="clear" w:color="auto" w:fill="auto"/>
            <w:vAlign w:val="top"/>
          </w:tcPr>
          <w:p>
            <w:pPr>
              <w:jc w:val="left"/>
              <w:rPr>
                <w:rFonts w:hint="eastAsia" w:ascii="仿宋_GB2312" w:hAnsi="仿宋_GB2312" w:eastAsia="仿宋_GB2312" w:cs="仿宋_GB2312"/>
                <w:sz w:val="21"/>
                <w:szCs w:val="21"/>
                <w:vertAlign w:val="baseline"/>
                <w:lang w:val="en-US" w:eastAsia="zh-CN"/>
              </w:rPr>
            </w:pPr>
          </w:p>
        </w:tc>
        <w:tc>
          <w:tcPr>
            <w:tcW w:w="498"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367"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39"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46"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292"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c>
          <w:tcPr>
            <w:tcW w:w="480" w:type="pct"/>
            <w:shd w:val="clear" w:color="auto" w:fill="auto"/>
            <w:vAlign w:val="top"/>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highlight w:val="yellow"/>
                <w:vertAlign w:val="baseline"/>
                <w:lang w:val="en-US" w:eastAsia="zh-CN"/>
              </w:rPr>
            </w:pPr>
            <w:r>
              <w:rPr>
                <w:rFonts w:hint="eastAsia" w:ascii="仿宋_GB2312" w:hAnsi="仿宋_GB2312" w:eastAsia="仿宋_GB2312" w:cs="仿宋_GB2312"/>
                <w:sz w:val="21"/>
                <w:szCs w:val="21"/>
                <w:highlight w:val="none"/>
                <w:vertAlign w:val="baseline"/>
                <w:lang w:val="en-US" w:eastAsia="zh-CN"/>
              </w:rPr>
              <w:t>除湿机</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符合介入手术室面积（211m³左右）除湿要求</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温、湿度仪</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支</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各3支</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壁挂式消毒机</w:t>
            </w:r>
          </w:p>
        </w:tc>
        <w:tc>
          <w:tcPr>
            <w:tcW w:w="229" w:type="pct"/>
            <w:vAlign w:val="top"/>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3</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1台符合介入手术室面积（211m³左右）消毒要求，另外两台需符合60m³面积消毒要求 。</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毒麻药品柜</w:t>
            </w:r>
          </w:p>
        </w:tc>
        <w:tc>
          <w:tcPr>
            <w:tcW w:w="229" w:type="pct"/>
            <w:vAlign w:val="top"/>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药品柜</w:t>
            </w:r>
          </w:p>
        </w:tc>
        <w:tc>
          <w:tcPr>
            <w:tcW w:w="229"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不锈钢、三开门、含配药台</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治疗车</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bookmarkStart w:id="0" w:name="OLE_LINK1" w:colFirst="7" w:colLast="7"/>
            <w:r>
              <w:rPr>
                <w:rFonts w:hint="eastAsia" w:ascii="仿宋_GB2312" w:hAnsi="仿宋_GB2312" w:eastAsia="仿宋_GB2312" w:cs="仿宋_GB2312"/>
                <w:sz w:val="21"/>
                <w:szCs w:val="21"/>
                <w:vertAlign w:val="baseline"/>
                <w:lang w:val="en-US" w:eastAsia="zh-CN"/>
              </w:rPr>
              <w:t>抢救车</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操作台</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不锈钢，1700mm*700mm*900mm</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LED无影灯</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双头</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吊塔</w:t>
            </w:r>
          </w:p>
        </w:tc>
        <w:tc>
          <w:tcPr>
            <w:tcW w:w="229" w:type="pct"/>
            <w:vAlign w:val="top"/>
          </w:tcPr>
          <w:p>
            <w:pPr>
              <w:jc w:val="center"/>
              <w:rPr>
                <w:rFonts w:hint="eastAsia" w:ascii="仿宋_GB2312" w:hAnsi="仿宋_GB2312" w:eastAsia="仿宋_GB2312" w:cs="仿宋_GB2312"/>
                <w:sz w:val="21"/>
                <w:szCs w:val="21"/>
                <w:highlight w:val="none"/>
                <w:vertAlign w:val="baseline"/>
                <w:lang w:val="en-US" w:eastAsia="zh-CN"/>
              </w:rPr>
            </w:pPr>
          </w:p>
        </w:tc>
        <w:tc>
          <w:tcPr>
            <w:tcW w:w="156" w:type="pct"/>
            <w:shd w:val="clear" w:color="auto" w:fill="auto"/>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w:t>
            </w:r>
          </w:p>
        </w:tc>
        <w:tc>
          <w:tcPr>
            <w:tcW w:w="138" w:type="pct"/>
          </w:tcPr>
          <w:p>
            <w:pPr>
              <w:jc w:val="center"/>
              <w:rPr>
                <w:rFonts w:hint="eastAsia" w:ascii="仿宋_GB2312" w:hAnsi="仿宋_GB2312" w:eastAsia="仿宋_GB2312" w:cs="仿宋_GB2312"/>
                <w:sz w:val="21"/>
                <w:szCs w:val="21"/>
                <w:highlight w:val="none"/>
                <w:vertAlign w:val="baseline"/>
                <w:lang w:val="en-US" w:eastAsia="zh-CN"/>
              </w:rPr>
            </w:pPr>
          </w:p>
        </w:tc>
        <w:tc>
          <w:tcPr>
            <w:tcW w:w="223" w:type="pct"/>
          </w:tcPr>
          <w:p>
            <w:pPr>
              <w:jc w:val="center"/>
              <w:rPr>
                <w:rFonts w:hint="eastAsia" w:ascii="仿宋_GB2312" w:hAnsi="仿宋_GB2312" w:eastAsia="仿宋_GB2312" w:cs="仿宋_GB2312"/>
                <w:sz w:val="21"/>
                <w:szCs w:val="21"/>
                <w:highlight w:val="none"/>
                <w:vertAlign w:val="baseline"/>
                <w:lang w:val="en-US" w:eastAsia="zh-CN"/>
              </w:rPr>
            </w:pPr>
          </w:p>
        </w:tc>
        <w:tc>
          <w:tcPr>
            <w:tcW w:w="253" w:type="pct"/>
          </w:tcPr>
          <w:p>
            <w:pPr>
              <w:jc w:val="center"/>
              <w:rPr>
                <w:rFonts w:hint="eastAsia" w:ascii="仿宋_GB2312" w:hAnsi="仿宋_GB2312" w:eastAsia="仿宋_GB2312" w:cs="仿宋_GB2312"/>
                <w:sz w:val="21"/>
                <w:szCs w:val="21"/>
                <w:highlight w:val="none"/>
                <w:vertAlign w:val="baseline"/>
                <w:lang w:val="en-US" w:eastAsia="zh-CN"/>
              </w:rPr>
            </w:pPr>
          </w:p>
        </w:tc>
        <w:tc>
          <w:tcPr>
            <w:tcW w:w="219" w:type="pct"/>
          </w:tcPr>
          <w:p>
            <w:pPr>
              <w:jc w:val="center"/>
              <w:rPr>
                <w:rFonts w:hint="eastAsia" w:ascii="仿宋_GB2312" w:hAnsi="仿宋_GB2312" w:eastAsia="仿宋_GB2312" w:cs="仿宋_GB2312"/>
                <w:sz w:val="21"/>
                <w:szCs w:val="21"/>
                <w:highlight w:val="none"/>
                <w:vertAlign w:val="baseline"/>
                <w:lang w:val="en-US" w:eastAsia="zh-CN"/>
              </w:rPr>
            </w:pPr>
          </w:p>
        </w:tc>
        <w:tc>
          <w:tcPr>
            <w:tcW w:w="827" w:type="pct"/>
          </w:tcPr>
          <w:p>
            <w:pPr>
              <w:jc w:val="left"/>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双氧气、双负压、双空气、6个插座</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双通道注射泵</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输液泵</w:t>
            </w:r>
          </w:p>
        </w:tc>
        <w:tc>
          <w:tcPr>
            <w:tcW w:w="229"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center"/>
              <w:rPr>
                <w:rFonts w:hint="eastAsia" w:ascii="仿宋_GB2312" w:hAnsi="仿宋_GB2312" w:eastAsia="仿宋_GB2312" w:cs="仿宋_GB2312"/>
                <w:sz w:val="21"/>
                <w:szCs w:val="21"/>
                <w:vertAlign w:val="baseline"/>
                <w:lang w:val="en-US" w:eastAsia="zh-CN"/>
              </w:rPr>
            </w:pPr>
          </w:p>
        </w:tc>
        <w:tc>
          <w:tcPr>
            <w:tcW w:w="223" w:type="pct"/>
          </w:tcPr>
          <w:p>
            <w:pPr>
              <w:jc w:val="center"/>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器械柜</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3</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不锈钢，长宽高为1100mm*500mm*2700mm</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洗手池</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不锈钢，可同时容纳2人洗手</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污物池</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不锈钢两槽1800mm*640mm*800mm</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更衣柜</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每柜容纳6人更衣要求</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鞋柜</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容纳12人</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脚踏凳</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2梯不锈钢</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电脑桌椅</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4</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电脑</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4</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文件柜</w:t>
            </w:r>
          </w:p>
        </w:tc>
        <w:tc>
          <w:tcPr>
            <w:tcW w:w="229" w:type="pct"/>
            <w:vAlign w:val="top"/>
          </w:tcPr>
          <w:p>
            <w:pPr>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病历柜</w:t>
            </w:r>
          </w:p>
        </w:tc>
        <w:tc>
          <w:tcPr>
            <w:tcW w:w="229" w:type="pct"/>
            <w:vAlign w:val="top"/>
          </w:tcPr>
          <w:p>
            <w:pPr>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个</w:t>
            </w:r>
          </w:p>
        </w:tc>
        <w:tc>
          <w:tcPr>
            <w:tcW w:w="156" w:type="pct"/>
            <w:shd w:val="clear" w:color="auto" w:fill="auto"/>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打印机</w:t>
            </w:r>
          </w:p>
        </w:tc>
        <w:tc>
          <w:tcPr>
            <w:tcW w:w="229" w:type="pct"/>
            <w:vAlign w:val="top"/>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台</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4</w:t>
            </w:r>
          </w:p>
        </w:tc>
        <w:tc>
          <w:tcPr>
            <w:tcW w:w="138" w:type="pct"/>
          </w:tcPr>
          <w:p>
            <w:pPr>
              <w:jc w:val="both"/>
              <w:rPr>
                <w:rFonts w:hint="eastAsia" w:ascii="仿宋_GB2312" w:hAnsi="仿宋_GB2312" w:eastAsia="仿宋_GB2312" w:cs="仿宋_GB2312"/>
                <w:sz w:val="21"/>
                <w:szCs w:val="21"/>
                <w:vertAlign w:val="baseline"/>
                <w:lang w:val="en-US" w:eastAsia="zh-CN"/>
              </w:rPr>
            </w:pPr>
          </w:p>
        </w:tc>
        <w:tc>
          <w:tcPr>
            <w:tcW w:w="223" w:type="pct"/>
          </w:tcPr>
          <w:p>
            <w:pPr>
              <w:jc w:val="both"/>
              <w:rPr>
                <w:rFonts w:hint="eastAsia" w:ascii="仿宋_GB2312" w:hAnsi="仿宋_GB2312" w:eastAsia="仿宋_GB2312" w:cs="仿宋_GB2312"/>
                <w:sz w:val="21"/>
                <w:szCs w:val="21"/>
                <w:vertAlign w:val="baseline"/>
                <w:lang w:val="en-US" w:eastAsia="zh-CN"/>
              </w:rPr>
            </w:pPr>
          </w:p>
        </w:tc>
        <w:tc>
          <w:tcPr>
            <w:tcW w:w="253" w:type="pct"/>
          </w:tcPr>
          <w:p>
            <w:pPr>
              <w:jc w:val="center"/>
              <w:rPr>
                <w:rFonts w:hint="eastAsia" w:ascii="仿宋_GB2312" w:hAnsi="仿宋_GB2312" w:eastAsia="仿宋_GB2312" w:cs="仿宋_GB2312"/>
                <w:sz w:val="21"/>
                <w:szCs w:val="21"/>
                <w:vertAlign w:val="baseline"/>
                <w:lang w:val="en-US" w:eastAsia="zh-CN"/>
              </w:rPr>
            </w:pPr>
          </w:p>
        </w:tc>
        <w:tc>
          <w:tcPr>
            <w:tcW w:w="219" w:type="pct"/>
          </w:tcPr>
          <w:p>
            <w:pPr>
              <w:jc w:val="center"/>
              <w:rPr>
                <w:rFonts w:hint="eastAsia" w:ascii="仿宋_GB2312" w:hAnsi="仿宋_GB2312" w:eastAsia="仿宋_GB2312" w:cs="仿宋_GB2312"/>
                <w:sz w:val="21"/>
                <w:szCs w:val="21"/>
                <w:vertAlign w:val="baseline"/>
                <w:lang w:val="en-US"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连供喷墨（或硒鼓）</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图文工作站</w:t>
            </w:r>
          </w:p>
        </w:tc>
        <w:tc>
          <w:tcPr>
            <w:tcW w:w="229" w:type="pct"/>
            <w:vAlign w:val="top"/>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模块包含但不限于病例检索调阅模块；影像采集、传输、显示、处理模块；诊断报告模块；统计分析模块；数据管理模块</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移动铅屏风</w:t>
            </w:r>
          </w:p>
        </w:tc>
        <w:tc>
          <w:tcPr>
            <w:tcW w:w="229" w:type="pct"/>
            <w:vAlign w:val="top"/>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扇</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3联，带观察窗</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pct"/>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电控幕帘</w:t>
            </w:r>
          </w:p>
        </w:tc>
        <w:tc>
          <w:tcPr>
            <w:tcW w:w="229" w:type="pct"/>
            <w:vAlign w:val="top"/>
          </w:tcPr>
          <w:p>
            <w:pPr>
              <w:jc w:val="both"/>
              <w:rPr>
                <w:rFonts w:hint="eastAsia" w:ascii="仿宋_GB2312" w:hAnsi="仿宋_GB2312" w:eastAsia="仿宋_GB2312" w:cs="仿宋_GB2312"/>
                <w:sz w:val="21"/>
                <w:szCs w:val="21"/>
                <w:vertAlign w:val="baseline"/>
                <w:lang w:eastAsia="zh-CN"/>
              </w:rPr>
            </w:pPr>
          </w:p>
        </w:tc>
        <w:tc>
          <w:tcPr>
            <w:tcW w:w="156" w:type="pct"/>
            <w:shd w:val="clear" w:color="auto" w:fill="auto"/>
            <w:vAlign w:val="top"/>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1400mm*900mm</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26" w:type="pct"/>
            <w:vAlign w:val="top"/>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辐射安全报警系统</w:t>
            </w:r>
          </w:p>
        </w:tc>
        <w:tc>
          <w:tcPr>
            <w:tcW w:w="229" w:type="pct"/>
            <w:vAlign w:val="top"/>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1</w:t>
            </w: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6" w:type="pct"/>
            <w:vAlign w:val="top"/>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监控系统</w:t>
            </w:r>
          </w:p>
        </w:tc>
        <w:tc>
          <w:tcPr>
            <w:tcW w:w="229" w:type="pct"/>
            <w:vAlign w:val="top"/>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套</w:t>
            </w: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1</w:t>
            </w: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带2个摄像头</w:t>
            </w: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26" w:type="pct"/>
            <w:vAlign w:val="top"/>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介入室区域改造</w:t>
            </w:r>
          </w:p>
        </w:tc>
        <w:tc>
          <w:tcPr>
            <w:tcW w:w="229" w:type="pct"/>
            <w:vAlign w:val="top"/>
          </w:tcPr>
          <w:p>
            <w:pPr>
              <w:jc w:val="both"/>
              <w:rPr>
                <w:rFonts w:hint="eastAsia" w:ascii="仿宋_GB2312" w:hAnsi="仿宋_GB2312" w:eastAsia="仿宋_GB2312" w:cs="仿宋_GB2312"/>
                <w:sz w:val="21"/>
                <w:szCs w:val="21"/>
                <w:vertAlign w:val="baseline"/>
                <w:lang w:eastAsia="zh-CN"/>
              </w:rPr>
            </w:pPr>
          </w:p>
        </w:tc>
        <w:tc>
          <w:tcPr>
            <w:tcW w:w="156" w:type="pct"/>
            <w:shd w:val="clear" w:color="auto" w:fill="auto"/>
            <w:vAlign w:val="top"/>
          </w:tcPr>
          <w:p>
            <w:pPr>
              <w:jc w:val="center"/>
              <w:rPr>
                <w:rFonts w:hint="eastAsia" w:ascii="仿宋_GB2312" w:hAnsi="仿宋_GB2312" w:eastAsia="仿宋_GB2312" w:cs="仿宋_GB2312"/>
                <w:kern w:val="2"/>
                <w:sz w:val="21"/>
                <w:szCs w:val="21"/>
                <w:vertAlign w:val="baseline"/>
                <w:lang w:val="en-US" w:eastAsia="zh-CN" w:bidi="ar-SA"/>
              </w:rPr>
            </w:pPr>
          </w:p>
        </w:tc>
        <w:tc>
          <w:tcPr>
            <w:tcW w:w="138" w:type="pct"/>
          </w:tcPr>
          <w:p>
            <w:pPr>
              <w:jc w:val="both"/>
              <w:rPr>
                <w:rFonts w:hint="eastAsia" w:ascii="仿宋_GB2312" w:hAnsi="仿宋_GB2312" w:eastAsia="仿宋_GB2312" w:cs="仿宋_GB2312"/>
                <w:sz w:val="21"/>
                <w:szCs w:val="21"/>
                <w:vertAlign w:val="baseline"/>
                <w:lang w:eastAsia="zh-CN"/>
              </w:rPr>
            </w:pPr>
          </w:p>
        </w:tc>
        <w:tc>
          <w:tcPr>
            <w:tcW w:w="223" w:type="pct"/>
          </w:tcPr>
          <w:p>
            <w:pPr>
              <w:jc w:val="both"/>
              <w:rPr>
                <w:rFonts w:hint="eastAsia" w:ascii="仿宋_GB2312" w:hAnsi="仿宋_GB2312" w:eastAsia="仿宋_GB2312" w:cs="仿宋_GB2312"/>
                <w:sz w:val="21"/>
                <w:szCs w:val="21"/>
                <w:vertAlign w:val="baseline"/>
                <w:lang w:eastAsia="zh-CN"/>
              </w:rPr>
            </w:pPr>
          </w:p>
        </w:tc>
        <w:tc>
          <w:tcPr>
            <w:tcW w:w="253" w:type="pct"/>
          </w:tcPr>
          <w:p>
            <w:pPr>
              <w:jc w:val="center"/>
              <w:rPr>
                <w:rFonts w:hint="eastAsia" w:ascii="仿宋_GB2312" w:hAnsi="仿宋_GB2312" w:eastAsia="仿宋_GB2312" w:cs="仿宋_GB2312"/>
                <w:sz w:val="21"/>
                <w:szCs w:val="21"/>
                <w:vertAlign w:val="baseline"/>
                <w:lang w:eastAsia="zh-CN"/>
              </w:rPr>
            </w:pPr>
          </w:p>
        </w:tc>
        <w:tc>
          <w:tcPr>
            <w:tcW w:w="219" w:type="pct"/>
          </w:tcPr>
          <w:p>
            <w:pPr>
              <w:jc w:val="center"/>
              <w:rPr>
                <w:rFonts w:hint="eastAsia" w:ascii="仿宋_GB2312" w:hAnsi="仿宋_GB2312" w:eastAsia="仿宋_GB2312" w:cs="仿宋_GB2312"/>
                <w:sz w:val="21"/>
                <w:szCs w:val="21"/>
                <w:vertAlign w:val="baseline"/>
                <w:lang w:eastAsia="zh-CN"/>
              </w:rPr>
            </w:pPr>
          </w:p>
        </w:tc>
        <w:tc>
          <w:tcPr>
            <w:tcW w:w="827" w:type="pct"/>
          </w:tcPr>
          <w:p>
            <w:pPr>
              <w:jc w:val="left"/>
              <w:rPr>
                <w:rFonts w:hint="eastAsia" w:ascii="仿宋_GB2312" w:hAnsi="仿宋_GB2312" w:eastAsia="仿宋_GB2312" w:cs="仿宋_GB2312"/>
                <w:sz w:val="21"/>
                <w:szCs w:val="21"/>
                <w:vertAlign w:val="baseline"/>
                <w:lang w:val="en-US" w:eastAsia="zh-CN"/>
              </w:rPr>
            </w:pPr>
          </w:p>
        </w:tc>
        <w:tc>
          <w:tcPr>
            <w:tcW w:w="498" w:type="pct"/>
          </w:tcPr>
          <w:p>
            <w:pPr>
              <w:jc w:val="center"/>
              <w:rPr>
                <w:rFonts w:hint="eastAsia" w:ascii="仿宋_GB2312" w:hAnsi="仿宋_GB2312" w:eastAsia="仿宋_GB2312" w:cs="仿宋_GB2312"/>
                <w:sz w:val="21"/>
                <w:szCs w:val="21"/>
                <w:vertAlign w:val="baseline"/>
                <w:lang w:val="en-US" w:eastAsia="zh-CN"/>
              </w:rPr>
            </w:pPr>
          </w:p>
        </w:tc>
        <w:tc>
          <w:tcPr>
            <w:tcW w:w="367" w:type="pct"/>
          </w:tcPr>
          <w:p>
            <w:pPr>
              <w:jc w:val="center"/>
              <w:rPr>
                <w:rFonts w:hint="eastAsia" w:ascii="仿宋_GB2312" w:hAnsi="仿宋_GB2312" w:eastAsia="仿宋_GB2312" w:cs="仿宋_GB2312"/>
                <w:sz w:val="21"/>
                <w:szCs w:val="21"/>
                <w:vertAlign w:val="baseline"/>
                <w:lang w:val="en-US" w:eastAsia="zh-CN"/>
              </w:rPr>
            </w:pPr>
          </w:p>
        </w:tc>
        <w:tc>
          <w:tcPr>
            <w:tcW w:w="439" w:type="pct"/>
          </w:tcPr>
          <w:p>
            <w:pPr>
              <w:jc w:val="center"/>
              <w:rPr>
                <w:rFonts w:hint="eastAsia" w:ascii="仿宋_GB2312" w:hAnsi="仿宋_GB2312" w:eastAsia="仿宋_GB2312" w:cs="仿宋_GB2312"/>
                <w:sz w:val="21"/>
                <w:szCs w:val="21"/>
                <w:vertAlign w:val="baseline"/>
                <w:lang w:val="en-US" w:eastAsia="zh-CN"/>
              </w:rPr>
            </w:pPr>
          </w:p>
        </w:tc>
        <w:tc>
          <w:tcPr>
            <w:tcW w:w="446" w:type="pct"/>
          </w:tcPr>
          <w:p>
            <w:pPr>
              <w:jc w:val="center"/>
              <w:rPr>
                <w:rFonts w:hint="eastAsia" w:ascii="仿宋_GB2312" w:hAnsi="仿宋_GB2312" w:eastAsia="仿宋_GB2312" w:cs="仿宋_GB2312"/>
                <w:sz w:val="21"/>
                <w:szCs w:val="21"/>
                <w:vertAlign w:val="baseline"/>
                <w:lang w:val="en-US" w:eastAsia="zh-CN"/>
              </w:rPr>
            </w:pPr>
          </w:p>
        </w:tc>
        <w:tc>
          <w:tcPr>
            <w:tcW w:w="292" w:type="pct"/>
          </w:tcPr>
          <w:p>
            <w:pPr>
              <w:jc w:val="center"/>
              <w:rPr>
                <w:rFonts w:hint="eastAsia" w:ascii="仿宋_GB2312" w:hAnsi="仿宋_GB2312" w:eastAsia="仿宋_GB2312" w:cs="仿宋_GB2312"/>
                <w:sz w:val="21"/>
                <w:szCs w:val="21"/>
                <w:vertAlign w:val="baseline"/>
                <w:lang w:val="en-US" w:eastAsia="zh-CN"/>
              </w:rPr>
            </w:pPr>
          </w:p>
        </w:tc>
        <w:tc>
          <w:tcPr>
            <w:tcW w:w="480" w:type="pct"/>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4"/>
            <w:vAlign w:val="top"/>
          </w:tcPr>
          <w:p>
            <w:pPr>
              <w:ind w:firstLine="211" w:firstLineChars="100"/>
              <w:rPr>
                <w:rFonts w:hint="eastAsia" w:ascii="仿宋_GB2312" w:hAnsi="仿宋_GB2312" w:eastAsia="仿宋_GB2312" w:cs="仿宋_GB2312"/>
                <w:b/>
                <w:bCs/>
                <w:sz w:val="21"/>
                <w:szCs w:val="21"/>
                <w:lang w:val="en-US" w:eastAsia="zh-CN"/>
              </w:rPr>
            </w:pPr>
            <w:r>
              <w:rPr>
                <w:rFonts w:hint="eastAsia" w:ascii="宋体" w:hAnsi="宋体" w:eastAsia="宋体" w:cs="宋体"/>
                <w:b/>
                <w:bCs/>
                <w:sz w:val="21"/>
                <w:szCs w:val="21"/>
                <w:lang w:val="en-US" w:eastAsia="zh-CN"/>
              </w:rPr>
              <w:t>★</w:t>
            </w:r>
            <w:r>
              <w:rPr>
                <w:rFonts w:hint="eastAsia" w:ascii="仿宋_GB2312" w:hAnsi="仿宋_GB2312" w:eastAsia="仿宋_GB2312" w:cs="仿宋_GB2312"/>
                <w:b/>
                <w:bCs/>
                <w:sz w:val="21"/>
                <w:szCs w:val="21"/>
                <w:lang w:val="en-US" w:eastAsia="zh-CN"/>
              </w:rPr>
              <w:t xml:space="preserve"> 医院要求：请供应商结合院方提出的设施设备及介入室区域改造等进行综合报价，报价需含上述清单中所有设施设备及介入室区域改造等的所有费用，实现安装完毕即可投入使用要求。</w:t>
            </w:r>
          </w:p>
          <w:p>
            <w:pPr>
              <w:jc w:val="center"/>
              <w:rPr>
                <w:rFonts w:hint="eastAsia" w:ascii="仿宋_GB2312" w:hAnsi="仿宋_GB2312" w:eastAsia="仿宋_GB2312" w:cs="仿宋_GB2312"/>
                <w:sz w:val="21"/>
                <w:szCs w:val="21"/>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E2F67"/>
    <w:multiLevelType w:val="singleLevel"/>
    <w:tmpl w:val="88BE2F67"/>
    <w:lvl w:ilvl="0" w:tentative="0">
      <w:start w:val="1"/>
      <w:numFmt w:val="chineseCounting"/>
      <w:suff w:val="nothing"/>
      <w:lvlText w:val="%1、"/>
      <w:lvlJc w:val="left"/>
      <w:rPr>
        <w:rFonts w:hint="eastAsia"/>
      </w:rPr>
    </w:lvl>
  </w:abstractNum>
  <w:abstractNum w:abstractNumId="1">
    <w:nsid w:val="1743DBFB"/>
    <w:multiLevelType w:val="singleLevel"/>
    <w:tmpl w:val="1743DBF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24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2026-01-07T06:27:43Z</dcterms:created>
  <dc:creator>Administrator</dc:creator>
  <cp:lastModifiedBy>Administrator</cp:lastModifiedBy>
  <dcterms:modified xsi:type="dcterms:W3CDTF">2026-01-07T06:28:45Z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