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成都市新都区第二人民医院</w:t>
      </w:r>
    </w:p>
    <w:p>
      <w:pPr>
        <w:pStyle w:val="2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实行市场调价医疗服务项目定（调）价表</w:t>
      </w:r>
    </w:p>
    <w:tbl>
      <w:tblPr>
        <w:tblStyle w:val="5"/>
        <w:tblpPr w:leftFromText="180" w:rightFromText="180" w:vertAnchor="text" w:horzAnchor="page" w:tblpX="1108" w:tblpY="498"/>
        <w:tblOverlap w:val="never"/>
        <w:tblW w:w="14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72"/>
        <w:gridCol w:w="6415"/>
        <w:gridCol w:w="1546"/>
        <w:gridCol w:w="115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医院自主定价价格（元）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错合畸形治疗设计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310507002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包括1．牙合模型测量：含手工模型测量牙弓长度、拥挤度或三维牙合模型计算机测量，2．模型诊断性排牙：含上下颌模型排牙，3．X线头影测量：含手工或计算机X线测量分析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模型制备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固定矫治器复诊处置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310507003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含常规检查及矫治器调整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更换弓丝及附件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前牙美容修复术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310511006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含牙体预备、酸蚀、粘接、修复；包括切角、切缘、关闭间隙、畸形牙改形、牙体缺陷和着色牙贴面等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各种特殊材料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每牙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无回吸口腔治疗术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310510013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结合精准、微创的口腔治疗技术使用新的动力工具在牙体预备、去腐、窝洞制备及口腔颌面外科局部手术过程中使用的无回吸治疗术。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正畸保持器治疗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310522028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含取模型、制作用材料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特殊材料及固定保持器、正位器、透明保持器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每副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胎盘成熟度检测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311201039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超声检查医师向怀孕11周及以上的孕妇提供的胎盘成熟度检测服务。服务内容：（1）查看申请单要求，了解受试者相应病史。（2）超声探查。通过超声探查受试者胎盘位置，观察胎盘实质回声、绒毛板形态、钙盐沉积情况等。（3）对胎盘成熟度进行评级，出具图文报告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440" w:right="1440" w:bottom="1440" w:left="144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ODYwNDcyYzE3OGQ5OWJkY2U5MGVkYWFhZjMxMDUifQ=="/>
  </w:docVars>
  <w:rsids>
    <w:rsidRoot w:val="00D31D50"/>
    <w:rsid w:val="00323B43"/>
    <w:rsid w:val="003D37D8"/>
    <w:rsid w:val="00426133"/>
    <w:rsid w:val="004358AB"/>
    <w:rsid w:val="008B7726"/>
    <w:rsid w:val="00D31D50"/>
    <w:rsid w:val="02AB56B9"/>
    <w:rsid w:val="0AA377C2"/>
    <w:rsid w:val="0D5F5E98"/>
    <w:rsid w:val="1B632FBD"/>
    <w:rsid w:val="1C874A89"/>
    <w:rsid w:val="2F1A60EB"/>
    <w:rsid w:val="3A0379ED"/>
    <w:rsid w:val="46E95B0A"/>
    <w:rsid w:val="4A0B1011"/>
    <w:rsid w:val="4D680A87"/>
    <w:rsid w:val="504A3FFE"/>
    <w:rsid w:val="5565051C"/>
    <w:rsid w:val="5BC41341"/>
    <w:rsid w:val="5C354D46"/>
    <w:rsid w:val="603A09E4"/>
    <w:rsid w:val="614B5652"/>
    <w:rsid w:val="658A7982"/>
    <w:rsid w:val="6BFB16AF"/>
    <w:rsid w:val="6CCF5389"/>
    <w:rsid w:val="73FC1FAB"/>
    <w:rsid w:val="740E5704"/>
    <w:rsid w:val="7EFE3E5F"/>
    <w:rsid w:val="7F7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exact"/>
      <w:jc w:val="center"/>
    </w:pPr>
    <w:rPr>
      <w:rFonts w:eastAsia="方正小标宋简体"/>
      <w:bCs/>
      <w:sz w:val="4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480</Characters>
  <Lines>1</Lines>
  <Paragraphs>1</Paragraphs>
  <TotalTime>5</TotalTime>
  <ScaleCrop>false</ScaleCrop>
  <LinksUpToDate>false</LinksUpToDate>
  <CharactersWithSpaces>509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ERYY15</cp:lastModifiedBy>
  <dcterms:modified xsi:type="dcterms:W3CDTF">2025-09-10T03:42:48Z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DF523F6BFB6C4FF893F471F4103BD271_13</vt:lpwstr>
  </property>
  <property fmtid="{D5CDD505-2E9C-101B-9397-08002B2CF9AE}" pid="4" name="KSOTemplateDocerSaveRecord">
    <vt:lpwstr>eyJoZGlkIjoiZjNmZWU5MjRmYzI4ZjExZDljZTY2ODZiNDQ2N2Y4MjUiLCJ1c2VySWQiOiIyMzE1MDcyODgifQ==</vt:lpwstr>
  </property>
</Properties>
</file>