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316" w:afterLines="100" w:line="560" w:lineRule="exact"/>
        <w:jc w:val="center"/>
        <w:rPr>
          <w:rFonts w:hint="eastAsia" w:ascii="方正小标宋简体" w:hAnsi="方正小标宋简体" w:eastAsia="方正小标宋简体" w:cs="宋体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</w:rPr>
        <w:t>成都市</w:t>
      </w: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新都区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第二人民医院</w:t>
      </w:r>
      <w:r>
        <w:rPr>
          <w:rFonts w:hint="eastAsia" w:ascii="方正小标宋简体" w:hAnsi="方正小标宋简体" w:eastAsia="方正小标宋简体" w:cs="宋体"/>
          <w:sz w:val="36"/>
          <w:szCs w:val="36"/>
          <w:lang w:val="en-US" w:eastAsia="zh-CN"/>
        </w:rPr>
        <w:t>电脑耗材供应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宋体"/>
          <w:sz w:val="36"/>
          <w:szCs w:val="24"/>
        </w:rPr>
        <w:t>报价</w:t>
      </w:r>
      <w:r>
        <w:rPr>
          <w:rFonts w:hint="eastAsia" w:ascii="方正小标宋简体" w:hAnsi="方正小标宋简体" w:eastAsia="方正小标宋简体" w:cs="宋体"/>
          <w:sz w:val="36"/>
          <w:szCs w:val="24"/>
          <w:lang w:val="en-US" w:eastAsia="zh-CN"/>
        </w:rPr>
        <w:t>单</w:t>
      </w:r>
    </w:p>
    <w:tbl>
      <w:tblPr>
        <w:tblStyle w:val="4"/>
        <w:tblW w:w="8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72"/>
        <w:gridCol w:w="501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询价单价（元）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墨盒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能够与惠普的1050打印机匹配使用，黑色墨盒，每个墨盒能支持打印约360页（A4幅面）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墨水（672黑色）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能够与爱普生的打印机匹配使用，每支墨水容量：70ml，标准容量，色量靓丽，安全环保，每支墨水可打印黑白文档约4000页（A4幅面）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墨水（672彩色）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能够与爱普生的3219打印机匹配使用，每支墨水容量：70ml，标准容量，色量靓丽，安全环保，每支墨水可打印黑白文档约8000页（A4幅面）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墨水（774黑色）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能够与爱普生的打印机匹配使用，每支墨水容量：140ml，标准容量，色量靓丽，安全环保，每支墨水可打印黑白文档约6000页（A4幅面）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粉盒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能够与理光1610的打印机匹配使用，每支墨粉净重：185g，能够支持打印黑白文档30000页（A4幅面）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条码碳带（50*300）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能够与TSC-247的打印机匹配使用，每条规格：50*300，每卷300米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条码碳带（90*300）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能够与TSC-342的打印机匹配使用，每条规格：90*300，每卷300米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标签纸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能够与TSC-247的打印机匹配使用，每条规格：50*300，每卷1000张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墨水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能够与L101的打印机匹配使用，颜色：BK黑，黑色4500页，彩色7000页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硒鼓（213）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能够与6202的打印机匹配使用，颜色：BK黑，1600页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硒鼓（411）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能够与惠普的打印机匹配使用，颜色：青，每个容量：2300页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硒鼓（88A）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能够与惠普的打印机匹配使用，颜色：BK黑，每个容量：1500页，支持加粉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热敏纸（50*30）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能够与GP1324D的打印机匹配使用，每卷800张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热敏纸（80*80）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能够与XP-160H的打印机匹配使用，每卷40M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热敏纸（57*50）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能够与XP-51II的打印机匹配使用，每卷90M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碳带（110*90）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能够与HT300的打印机匹配使用，每卷90M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与本项目相关的其他为列明电脑打印耗材</w:t>
            </w:r>
          </w:p>
        </w:tc>
        <w:tc>
          <w:tcPr>
            <w:tcW w:w="5018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以采购人审核后的派工单要求为准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审核后派工单价格下降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rPr>
          <w:rFonts w:hint="eastAsia" w:ascii="方正小标宋简体" w:hAnsi="方正小标宋简体" w:eastAsia="方正小标宋简体" w:cs="宋体"/>
          <w:sz w:val="28"/>
          <w:szCs w:val="28"/>
        </w:rPr>
      </w:pPr>
    </w:p>
    <w:p>
      <w:pPr>
        <w:rPr>
          <w:rFonts w:ascii="方正小标宋简体" w:hAnsi="方正小标宋简体" w:eastAsia="方正小标宋简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宋体"/>
          <w:sz w:val="28"/>
          <w:szCs w:val="28"/>
        </w:rPr>
        <w:t>报价公司：</w:t>
      </w:r>
    </w:p>
    <w:p>
      <w:pPr>
        <w:rPr>
          <w:rFonts w:ascii="方正小标宋简体" w:hAnsi="方正小标宋简体" w:eastAsia="方正小标宋简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宋体"/>
          <w:sz w:val="28"/>
          <w:szCs w:val="28"/>
        </w:rPr>
        <w:t>联系电话：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28"/>
          <w:szCs w:val="28"/>
          <w:lang w:val="en-US" w:eastAsia="zh-CN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177D8"/>
    <w:rsid w:val="2947246B"/>
    <w:rsid w:val="7D2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2024-07-30T02:31:48Z</dcterms:created>
  <dc:creator>ERYY15</dc:creator>
  <cp:lastModifiedBy>ERYY15</cp:lastModifiedBy>
  <dcterms:modified xsi:type="dcterms:W3CDTF">2024-07-30T02:32:22Z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